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 élèves sont par 4 sur grand terrain. Ils rencontrent tous leurs adversaires et remplissent la fiche suivante.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Les badistes jouent et l'arbitre s’occupe de faire respecter les règles durant le match.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 compteur de points peut être équipé d’une tablette si l’établissement le permet. Il pourra alors compter les points via l’application “</w:t>
      </w:r>
      <w:r w:rsidDel="00000000" w:rsidR="00000000" w:rsidRPr="00000000">
        <w:rPr>
          <w:i w:val="1"/>
          <w:rtl w:val="0"/>
        </w:rPr>
        <w:t xml:space="preserve">Match et Score</w:t>
      </w:r>
      <w:r w:rsidDel="00000000" w:rsidR="00000000" w:rsidRPr="00000000">
        <w:rPr>
          <w:rtl w:val="0"/>
        </w:rPr>
        <w:t xml:space="preserve">”. Sinon, il pourra se munir d’une feuille et d’un stylo. Il devra alors reporter un bâton par point marqué par élève.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19.7154816614468"/>
        <w:gridCol w:w="1319.7154816614468"/>
        <w:gridCol w:w="1375.635629189474"/>
        <w:gridCol w:w="1319.7154816614468"/>
        <w:gridCol w:w="1800.6287504024826"/>
        <w:gridCol w:w="1890.1009864473262"/>
        <w:tblGridChange w:id="0">
          <w:tblGrid>
            <w:gridCol w:w="1319.7154816614468"/>
            <w:gridCol w:w="1319.7154816614468"/>
            <w:gridCol w:w="1375.635629189474"/>
            <w:gridCol w:w="1319.7154816614468"/>
            <w:gridCol w:w="1800.6287504024826"/>
            <w:gridCol w:w="1890.1009864473262"/>
          </w:tblGrid>
        </w:tblGridChange>
      </w:tblGrid>
      <w:tr>
        <w:trPr>
          <w:trHeight w:val="375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Feuille du tournoi de badminton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Prénom badiste A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Prénom badiste B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Prénom badiste C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Prénom badiste D</w:t>
            </w:r>
          </w:p>
        </w:tc>
        <w:tc>
          <w:tcPr>
            <w:gridSpan w:val="2"/>
            <w:vMerge w:val="restart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Pour remplir les colonnes ci-dessous : écrivez la lettre du joueur dans la case correspondante. 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Arbitre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Compteur de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Score final de la rencontre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Élève gagnant (3 points)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Élève perdant (score /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contre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 contre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contre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 contre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contre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 contre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/ ...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Après le tournoi, les élèves reportent leurs points sur le tableau ci-dessous. Ainsi, ils pourront voir la totalité des points marqués et leur classement.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3.0393700787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90.4926884139486"/>
        <w:gridCol w:w="1461.2733408323961"/>
        <w:gridCol w:w="1461.2733408323961"/>
        <w:gridCol w:w="1470"/>
        <w:gridCol w:w="1680"/>
        <w:gridCol w:w="1260"/>
        <w:tblGridChange w:id="0">
          <w:tblGrid>
            <w:gridCol w:w="1690.4926884139486"/>
            <w:gridCol w:w="1461.2733408323961"/>
            <w:gridCol w:w="1461.2733408323961"/>
            <w:gridCol w:w="1470"/>
            <w:gridCol w:w="1680"/>
            <w:gridCol w:w="1260"/>
          </w:tblGrid>
        </w:tblGridChange>
      </w:tblGrid>
      <w:tr>
        <w:trPr>
          <w:trHeight w:val="375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Classement final du tournoi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 match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 match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 match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des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Badiste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Badiste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Badiste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Badiste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Pour rappel : 3 points par match gagné OU score / 10 pour un match perdu</w:t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Maintenant que les élèves connaissent leur classement et leurs points, ils peuvent analyser leurs résultats.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 cette façon, ils savent en direct s’ils ont acquis ou non la compétence travaillée ce jour.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Un retour sur les points forts et points faibles de l’élève peut donc se faire avec l’enseignant. Cela amènera à de nouvelles pistes de travail pour les prochaine séances.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025.511811023624"/>
        <w:gridCol w:w="1"/>
        <w:gridCol w:w="1"/>
        <w:gridCol w:w="1"/>
        <w:gridCol w:w="1"/>
        <w:gridCol w:w="1"/>
        <w:tblGridChange w:id="0">
          <w:tblGrid>
            <w:gridCol w:w="9025.511811023624"/>
            <w:gridCol w:w="1"/>
            <w:gridCol w:w="1"/>
            <w:gridCol w:w="1"/>
            <w:gridCol w:w="1"/>
            <w:gridCol w:w="1"/>
          </w:tblGrid>
        </w:tblGridChange>
      </w:tblGrid>
      <w:tr>
        <w:trPr>
          <w:trHeight w:val="375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Affichage au mur via le rétroprojecteur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 point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montrez-vous plus volontaire face à votre adversaire pour valider la compétence attendue. Vous allez forcément marquer quelques points en ne lâchant rien.</w:t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entre 0,1 et 0,4 point par match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il faut tenir bon tout le long du match pour acquérir la compétence. Ne vous découragez pas.</w:t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entre 0,5 et 2 points par match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vous n'avez pas gagné, mais vous avez empêché l'écart de se creuser. Bravo pour votre engagement. Vous avez acquis la compétence travaillée aujourd'hui.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vous avez gagné au moins un match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vous avez donné de l'engagement pour vaincre au moins un adversaire. La compétence est donc acquise.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